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33B9A" w14:textId="5A20D048" w:rsidR="000F13A1" w:rsidRPr="000F13A1" w:rsidRDefault="000F13A1" w:rsidP="000F13A1">
      <w:pPr>
        <w:rPr>
          <w:rFonts w:ascii="Times New Roman" w:hAnsi="Times New Roman" w:cs="Times New Roman"/>
        </w:rPr>
      </w:pPr>
      <w:r w:rsidRPr="000F13A1">
        <w:rPr>
          <w:rFonts w:ascii="Times New Roman" w:hAnsi="Times New Roman" w:cs="Times New Roman"/>
        </w:rPr>
        <w:t>September 3, 2021</w:t>
      </w:r>
    </w:p>
    <w:p w14:paraId="3CEF5E51" w14:textId="32DABB61" w:rsidR="003410BE" w:rsidRPr="00E46654" w:rsidRDefault="003410BE" w:rsidP="003410BE">
      <w:pPr>
        <w:jc w:val="center"/>
        <w:rPr>
          <w:rFonts w:ascii="Times New Roman" w:hAnsi="Times New Roman" w:cs="Times New Roman"/>
          <w:b/>
          <w:u w:val="single"/>
        </w:rPr>
      </w:pPr>
      <w:r w:rsidRPr="00E46654">
        <w:rPr>
          <w:rFonts w:ascii="Times New Roman" w:hAnsi="Times New Roman" w:cs="Times New Roman"/>
          <w:b/>
          <w:u w:val="single"/>
        </w:rPr>
        <w:t xml:space="preserve">Update on </w:t>
      </w:r>
      <w:r w:rsidRPr="000E2102">
        <w:rPr>
          <w:rFonts w:ascii="Times New Roman" w:hAnsi="Times New Roman" w:cs="Times New Roman"/>
          <w:b/>
          <w:u w:val="single"/>
        </w:rPr>
        <w:t>Coffee Day Natural Resources Private Limited</w:t>
      </w:r>
    </w:p>
    <w:p w14:paraId="460217E0" w14:textId="0D17049E" w:rsidR="003410BE" w:rsidRPr="00A74643" w:rsidRDefault="003410BE" w:rsidP="003410BE">
      <w:pPr>
        <w:jc w:val="both"/>
        <w:rPr>
          <w:rFonts w:ascii="Times New Roman" w:hAnsi="Times New Roman" w:cs="Times New Roman"/>
        </w:rPr>
      </w:pPr>
      <w:r w:rsidRPr="00E46654">
        <w:rPr>
          <w:rFonts w:ascii="Times New Roman" w:hAnsi="Times New Roman" w:cs="Times New Roman"/>
        </w:rPr>
        <w:t xml:space="preserve">DSP </w:t>
      </w:r>
      <w:r>
        <w:rPr>
          <w:rFonts w:ascii="Times New Roman" w:hAnsi="Times New Roman" w:cs="Times New Roman"/>
        </w:rPr>
        <w:t xml:space="preserve">Credit Risk Fund (“Scheme”) had invested </w:t>
      </w:r>
      <w:r w:rsidRPr="00A74643">
        <w:rPr>
          <w:rFonts w:ascii="Times New Roman" w:hAnsi="Times New Roman" w:cs="Times New Roman"/>
        </w:rPr>
        <w:t xml:space="preserve">INR 115 crores (face value) in </w:t>
      </w:r>
      <w:r w:rsidRPr="00E46654">
        <w:rPr>
          <w:rFonts w:ascii="Times New Roman" w:hAnsi="Times New Roman" w:cs="Times New Roman"/>
        </w:rPr>
        <w:t>non-convertible debentures</w:t>
      </w:r>
      <w:r w:rsidRPr="00A74643">
        <w:rPr>
          <w:rFonts w:ascii="Times New Roman" w:hAnsi="Times New Roman" w:cs="Times New Roman"/>
        </w:rPr>
        <w:t xml:space="preserve"> of Coffee Day Natural Resources Private Limited (“NCD”) on December 23, 2016 out of which INR 46 crore</w:t>
      </w:r>
      <w:r>
        <w:rPr>
          <w:rFonts w:ascii="Times New Roman" w:hAnsi="Times New Roman" w:cs="Times New Roman"/>
        </w:rPr>
        <w:t>s</w:t>
      </w:r>
      <w:r w:rsidRPr="00A74643">
        <w:rPr>
          <w:rFonts w:ascii="Times New Roman" w:hAnsi="Times New Roman" w:cs="Times New Roman"/>
        </w:rPr>
        <w:t xml:space="preserve"> </w:t>
      </w:r>
      <w:r>
        <w:rPr>
          <w:rFonts w:ascii="Times New Roman" w:hAnsi="Times New Roman" w:cs="Times New Roman"/>
        </w:rPr>
        <w:t>were</w:t>
      </w:r>
      <w:r w:rsidRPr="00A74643">
        <w:rPr>
          <w:rFonts w:ascii="Times New Roman" w:hAnsi="Times New Roman" w:cs="Times New Roman"/>
        </w:rPr>
        <w:t xml:space="preserve"> paid off. Accordingly, the Scheme had exposure of INR 69 crore</w:t>
      </w:r>
      <w:r>
        <w:rPr>
          <w:rFonts w:ascii="Times New Roman" w:hAnsi="Times New Roman" w:cs="Times New Roman"/>
        </w:rPr>
        <w:t>s</w:t>
      </w:r>
      <w:r w:rsidRPr="00A74643">
        <w:rPr>
          <w:rFonts w:ascii="Times New Roman" w:hAnsi="Times New Roman" w:cs="Times New Roman"/>
        </w:rPr>
        <w:t xml:space="preserve"> (face value) in the NCD. The issuer exercised the call option on July 15, 2019 for settlement on August 16, 2019 but failed to make payment till date.</w:t>
      </w:r>
    </w:p>
    <w:p w14:paraId="595ACD08" w14:textId="77777777" w:rsidR="003410BE" w:rsidRPr="00A74643" w:rsidRDefault="003410BE" w:rsidP="003410BE">
      <w:pPr>
        <w:jc w:val="both"/>
        <w:rPr>
          <w:rFonts w:ascii="Times New Roman" w:hAnsi="Times New Roman" w:cs="Times New Roman"/>
        </w:rPr>
      </w:pPr>
      <w:r w:rsidRPr="00A74643">
        <w:rPr>
          <w:rFonts w:ascii="Times New Roman" w:hAnsi="Times New Roman" w:cs="Times New Roman"/>
        </w:rPr>
        <w:t>Coffee Day Natural Resources Private Limited is a holding company with no assets of its own and the NCD derives its value from its collateral which has suffered significant deterioration in value. Any further erosion in the value of NCD could led to significant impact on the return to current set of investors in the Scheme.</w:t>
      </w:r>
    </w:p>
    <w:p w14:paraId="0B7891E3" w14:textId="0C06B7A6" w:rsidR="003410BE" w:rsidRPr="00A74643" w:rsidRDefault="003410BE" w:rsidP="003410BE">
      <w:pPr>
        <w:jc w:val="both"/>
        <w:rPr>
          <w:rFonts w:ascii="Times New Roman" w:hAnsi="Times New Roman" w:cs="Times New Roman"/>
        </w:rPr>
      </w:pPr>
      <w:r w:rsidRPr="00A74643">
        <w:rPr>
          <w:rFonts w:ascii="Times New Roman" w:hAnsi="Times New Roman" w:cs="Times New Roman"/>
        </w:rPr>
        <w:t xml:space="preserve">In view of the above, the Board of Directors of DSP Investment Managers Private Limited (“DSPIM”) and DSP Trustee Private Limited had approved the proposal </w:t>
      </w:r>
      <w:r>
        <w:rPr>
          <w:rFonts w:ascii="Times New Roman" w:hAnsi="Times New Roman" w:cs="Times New Roman"/>
        </w:rPr>
        <w:t xml:space="preserve">for </w:t>
      </w:r>
      <w:r w:rsidRPr="00A74643">
        <w:rPr>
          <w:rFonts w:ascii="Times New Roman" w:hAnsi="Times New Roman" w:cs="Times New Roman"/>
        </w:rPr>
        <w:t xml:space="preserve">DSPIM </w:t>
      </w:r>
      <w:r>
        <w:rPr>
          <w:rFonts w:ascii="Times New Roman" w:hAnsi="Times New Roman" w:cs="Times New Roman"/>
        </w:rPr>
        <w:t>to</w:t>
      </w:r>
      <w:r w:rsidRPr="00A74643">
        <w:rPr>
          <w:rFonts w:ascii="Times New Roman" w:hAnsi="Times New Roman" w:cs="Times New Roman"/>
        </w:rPr>
        <w:t xml:space="preserve"> purchas</w:t>
      </w:r>
      <w:r>
        <w:rPr>
          <w:rFonts w:ascii="Times New Roman" w:hAnsi="Times New Roman" w:cs="Times New Roman"/>
        </w:rPr>
        <w:t>e</w:t>
      </w:r>
      <w:r w:rsidRPr="00A74643">
        <w:rPr>
          <w:rFonts w:ascii="Times New Roman" w:hAnsi="Times New Roman" w:cs="Times New Roman"/>
        </w:rPr>
        <w:t xml:space="preserve"> </w:t>
      </w:r>
      <w:r>
        <w:rPr>
          <w:rFonts w:ascii="Times New Roman" w:hAnsi="Times New Roman" w:cs="Times New Roman"/>
        </w:rPr>
        <w:t xml:space="preserve">the </w:t>
      </w:r>
      <w:r w:rsidRPr="00A74643">
        <w:rPr>
          <w:rFonts w:ascii="Times New Roman" w:hAnsi="Times New Roman" w:cs="Times New Roman"/>
        </w:rPr>
        <w:t>NCD from the Scheme at the prevailing carrying value based on the valuation provided by the independent valuation agencies viz. CRISIL &amp; ICRA</w:t>
      </w:r>
      <w:r>
        <w:rPr>
          <w:rFonts w:ascii="Times New Roman" w:hAnsi="Times New Roman" w:cs="Times New Roman"/>
        </w:rPr>
        <w:t>,</w:t>
      </w:r>
      <w:r w:rsidRPr="00A74643">
        <w:rPr>
          <w:rFonts w:ascii="Times New Roman" w:hAnsi="Times New Roman" w:cs="Times New Roman"/>
        </w:rPr>
        <w:t xml:space="preserve"> appointed by AMFI. </w:t>
      </w:r>
      <w:r>
        <w:rPr>
          <w:rFonts w:ascii="Times New Roman" w:hAnsi="Times New Roman" w:cs="Times New Roman"/>
        </w:rPr>
        <w:t>DSPIM had purchased the NCD from the Scheme</w:t>
      </w:r>
      <w:r w:rsidR="000F13A1">
        <w:rPr>
          <w:rFonts w:ascii="Times New Roman" w:hAnsi="Times New Roman" w:cs="Times New Roman"/>
        </w:rPr>
        <w:t xml:space="preserve"> with the trade date of August 31, 2021</w:t>
      </w:r>
      <w:r>
        <w:rPr>
          <w:rFonts w:ascii="Times New Roman" w:hAnsi="Times New Roman" w:cs="Times New Roman"/>
        </w:rPr>
        <w:t xml:space="preserve">. </w:t>
      </w:r>
    </w:p>
    <w:p w14:paraId="1C0B6047" w14:textId="77777777" w:rsidR="004D4731" w:rsidRDefault="004D4731" w:rsidP="000B071D">
      <w:pPr>
        <w:jc w:val="both"/>
        <w:rPr>
          <w:rFonts w:ascii="Times New Roman" w:hAnsi="Times New Roman" w:cs="Times New Roman"/>
        </w:rPr>
      </w:pPr>
    </w:p>
    <w:p w14:paraId="24396D96" w14:textId="34BAF0BF" w:rsidR="00A07AEA" w:rsidRDefault="00400049" w:rsidP="000B071D">
      <w:pPr>
        <w:jc w:val="both"/>
        <w:rPr>
          <w:rFonts w:ascii="Times New Roman" w:hAnsi="Times New Roman" w:cs="Times New Roman"/>
        </w:rPr>
      </w:pPr>
      <w:r>
        <w:rPr>
          <w:rFonts w:ascii="Times New Roman" w:hAnsi="Times New Roman" w:cs="Times New Roman"/>
        </w:rPr>
        <w:t xml:space="preserve"> </w:t>
      </w:r>
    </w:p>
    <w:p w14:paraId="4A2DD86D" w14:textId="77777777" w:rsidR="004E17E4" w:rsidRDefault="004E17E4" w:rsidP="000B071D">
      <w:pPr>
        <w:jc w:val="both"/>
        <w:rPr>
          <w:rFonts w:ascii="Times New Roman" w:hAnsi="Times New Roman" w:cs="Times New Roman"/>
        </w:rPr>
      </w:pPr>
      <w:bookmarkStart w:id="0" w:name="_GoBack"/>
      <w:bookmarkEnd w:id="0"/>
    </w:p>
    <w:p w14:paraId="5BD4ABA2" w14:textId="77777777" w:rsidR="00A07AEA" w:rsidRPr="000B071D" w:rsidRDefault="00A07AEA" w:rsidP="000B071D">
      <w:pPr>
        <w:jc w:val="both"/>
      </w:pPr>
    </w:p>
    <w:sectPr w:rsidR="00A07AEA" w:rsidRPr="000B071D" w:rsidSect="003B23FB">
      <w:headerReference w:type="default" r:id="rId8"/>
      <w:footerReference w:type="default" r:id="rId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62535" w14:textId="77777777" w:rsidR="00C901EB" w:rsidRDefault="00C901EB" w:rsidP="00934B56">
      <w:pPr>
        <w:spacing w:after="0" w:line="240" w:lineRule="auto"/>
      </w:pPr>
      <w:r>
        <w:separator/>
      </w:r>
    </w:p>
  </w:endnote>
  <w:endnote w:type="continuationSeparator" w:id="0">
    <w:p w14:paraId="573379B2" w14:textId="77777777" w:rsidR="00C901EB" w:rsidRDefault="00C901EB" w:rsidP="00934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52F45" w14:textId="77777777" w:rsidR="00934B56" w:rsidRDefault="00934B56">
    <w:pPr>
      <w:pStyle w:val="Footer"/>
    </w:pPr>
    <w:r>
      <w:rPr>
        <w:noProof/>
        <w:lang w:eastAsia="en-IN"/>
      </w:rPr>
      <w:drawing>
        <wp:inline distT="0" distB="0" distL="0" distR="0" wp14:anchorId="77FC2C26" wp14:editId="20369BE0">
          <wp:extent cx="6840220" cy="6635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 MAFATLAL ADDRES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40220" cy="663575"/>
                  </a:xfrm>
                  <a:prstGeom prst="rect">
                    <a:avLst/>
                  </a:prstGeom>
                </pic:spPr>
              </pic:pic>
            </a:graphicData>
          </a:graphic>
        </wp:inline>
      </w:drawing>
    </w:r>
  </w:p>
  <w:p w14:paraId="0063493B" w14:textId="77777777" w:rsidR="00934B56" w:rsidRDefault="00934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6B057" w14:textId="77777777" w:rsidR="00C901EB" w:rsidRDefault="00C901EB" w:rsidP="00934B56">
      <w:pPr>
        <w:spacing w:after="0" w:line="240" w:lineRule="auto"/>
      </w:pPr>
      <w:r>
        <w:separator/>
      </w:r>
    </w:p>
  </w:footnote>
  <w:footnote w:type="continuationSeparator" w:id="0">
    <w:p w14:paraId="42FE27AD" w14:textId="77777777" w:rsidR="00C901EB" w:rsidRDefault="00C901EB" w:rsidP="00934B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350FC" w14:textId="77777777" w:rsidR="00934B56" w:rsidRDefault="00934B56">
    <w:pPr>
      <w:pStyle w:val="Header"/>
    </w:pPr>
    <w:r>
      <w:rPr>
        <w:noProof/>
        <w:lang w:eastAsia="en-IN"/>
      </w:rPr>
      <w:drawing>
        <wp:inline distT="0" distB="0" distL="0" distR="0" wp14:anchorId="278D1BEA" wp14:editId="6B74B978">
          <wp:extent cx="6840220" cy="8566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40220" cy="856615"/>
                  </a:xfrm>
                  <a:prstGeom prst="rect">
                    <a:avLst/>
                  </a:prstGeom>
                </pic:spPr>
              </pic:pic>
            </a:graphicData>
          </a:graphic>
        </wp:inline>
      </w:drawing>
    </w:r>
  </w:p>
  <w:p w14:paraId="6F86C01E" w14:textId="77777777" w:rsidR="00934B56" w:rsidRDefault="00934B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9114A9"/>
    <w:multiLevelType w:val="hybridMultilevel"/>
    <w:tmpl w:val="0A2A430E"/>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A01427C"/>
    <w:multiLevelType w:val="hybridMultilevel"/>
    <w:tmpl w:val="6672B254"/>
    <w:lvl w:ilvl="0" w:tplc="FF7E15D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3FB"/>
    <w:rsid w:val="000B071D"/>
    <w:rsid w:val="000B1A71"/>
    <w:rsid w:val="000C0CF9"/>
    <w:rsid w:val="000F13A1"/>
    <w:rsid w:val="001115C5"/>
    <w:rsid w:val="00135C39"/>
    <w:rsid w:val="001644B1"/>
    <w:rsid w:val="001E1717"/>
    <w:rsid w:val="00237741"/>
    <w:rsid w:val="002C4104"/>
    <w:rsid w:val="003410BE"/>
    <w:rsid w:val="0036244F"/>
    <w:rsid w:val="003B23FB"/>
    <w:rsid w:val="003F18FB"/>
    <w:rsid w:val="00400049"/>
    <w:rsid w:val="00443BD1"/>
    <w:rsid w:val="00494A5F"/>
    <w:rsid w:val="00494E7D"/>
    <w:rsid w:val="004D4731"/>
    <w:rsid w:val="004E17E4"/>
    <w:rsid w:val="00575923"/>
    <w:rsid w:val="00620596"/>
    <w:rsid w:val="006C1F41"/>
    <w:rsid w:val="006D395B"/>
    <w:rsid w:val="00700977"/>
    <w:rsid w:val="00867573"/>
    <w:rsid w:val="0089526E"/>
    <w:rsid w:val="008A222F"/>
    <w:rsid w:val="008A569D"/>
    <w:rsid w:val="00934B56"/>
    <w:rsid w:val="009B2B27"/>
    <w:rsid w:val="009D41B4"/>
    <w:rsid w:val="00A02DF1"/>
    <w:rsid w:val="00A07AEA"/>
    <w:rsid w:val="00A76307"/>
    <w:rsid w:val="00AA3602"/>
    <w:rsid w:val="00B23F08"/>
    <w:rsid w:val="00BC335C"/>
    <w:rsid w:val="00BE4CA8"/>
    <w:rsid w:val="00BF1209"/>
    <w:rsid w:val="00C84872"/>
    <w:rsid w:val="00C901EB"/>
    <w:rsid w:val="00D33328"/>
    <w:rsid w:val="00D63567"/>
    <w:rsid w:val="00DC70F6"/>
    <w:rsid w:val="00E4155A"/>
    <w:rsid w:val="00EF07B2"/>
    <w:rsid w:val="00FD04E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B6CC7"/>
  <w15:docId w15:val="{625CDB6D-E07D-4DEE-AC79-FEB662229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7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0F6"/>
    <w:rPr>
      <w:rFonts w:ascii="Tahoma" w:hAnsi="Tahoma" w:cs="Tahoma"/>
      <w:sz w:val="16"/>
      <w:szCs w:val="16"/>
    </w:rPr>
  </w:style>
  <w:style w:type="paragraph" w:styleId="ListParagraph">
    <w:name w:val="List Paragraph"/>
    <w:aliases w:val="heading 9"/>
    <w:basedOn w:val="Normal"/>
    <w:link w:val="ListParagraphChar"/>
    <w:uiPriority w:val="34"/>
    <w:qFormat/>
    <w:rsid w:val="00DC70F6"/>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ListParagraphChar">
    <w:name w:val="List Paragraph Char"/>
    <w:aliases w:val="heading 9 Char"/>
    <w:link w:val="ListParagraph"/>
    <w:uiPriority w:val="34"/>
    <w:locked/>
    <w:rsid w:val="00DC70F6"/>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34B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B56"/>
  </w:style>
  <w:style w:type="paragraph" w:styleId="Footer">
    <w:name w:val="footer"/>
    <w:basedOn w:val="Normal"/>
    <w:link w:val="FooterChar"/>
    <w:uiPriority w:val="99"/>
    <w:unhideWhenUsed/>
    <w:rsid w:val="00934B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B56"/>
  </w:style>
  <w:style w:type="table" w:styleId="TableGrid">
    <w:name w:val="Table Grid"/>
    <w:basedOn w:val="TableNormal"/>
    <w:uiPriority w:val="39"/>
    <w:rsid w:val="00867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9A066-2DA3-417D-BCB1-CA210E1B0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Gole, Ashok (India)</dc:creator>
  <cp:lastModifiedBy>Tanna, Ravi (India)</cp:lastModifiedBy>
  <cp:revision>2</cp:revision>
  <dcterms:created xsi:type="dcterms:W3CDTF">2021-09-03T10:38:00Z</dcterms:created>
  <dcterms:modified xsi:type="dcterms:W3CDTF">2021-09-03T10:38:00Z</dcterms:modified>
</cp:coreProperties>
</file>